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Meeting Internacional Fátima 2025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 Foro de Iniciativas Sociales y Culturales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Bases para la participación en el Foro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1. El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Foro de Iniciativas Sociales y Culturales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es un certamen organizado por Cooperación Internacional que premia iniciativas sociales o culturales impulsadas por asociaciones juveniles durante el último año. El contenido de la actividad puede ser de dos tipos:</w:t>
      </w:r>
    </w:p>
    <w:p w:rsidR="00000000" w:rsidDel="00000000" w:rsidP="00000000" w:rsidRDefault="00000000" w:rsidRPr="00000000" w14:paraId="00000008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u w:val="single"/>
          <w:rtl w:val="0"/>
        </w:rPr>
        <w:t xml:space="preserve">Contenido social: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aquellas que muestran la capacidad de la juventud para aportar soluciones o impulsar iniciativas sociales en beneficio de personas sin hogar, familias o infancia en situación de vulnerabilidad, personas con discapacidad, cuidado del medioambiente, promoción del voluntariado, acompañamiento de personas en situación de soledad no deseada, atención a inmigrantes, campañas específicas en Navidad, etc.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u w:val="single"/>
          <w:rtl w:val="0"/>
        </w:rPr>
        <w:t xml:space="preserve">Contenido cultural o formativo de la juventud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como por ejemplo: creación de hábitos de trabajo, fomento de la lectura, emprendimiento social, capacidad oratoria, formación digital, salud mental, prevención de adicciones, formación musical, artística, etc.</w:t>
      </w:r>
    </w:p>
    <w:p w:rsidR="00000000" w:rsidDel="00000000" w:rsidP="00000000" w:rsidRDefault="00000000" w:rsidRPr="00000000" w14:paraId="0000000B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2. Cada asociación podrá presentar un máximo de 3 iniciativas.</w:t>
      </w:r>
    </w:p>
    <w:p w:rsidR="00000000" w:rsidDel="00000000" w:rsidP="00000000" w:rsidRDefault="00000000" w:rsidRPr="00000000" w14:paraId="0000000E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3. La asociación debe completar el formulario específico del Foro de Iniciativas Sociales y Culturales, debidamente cumplimentado,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antes del miércoles 2 de abril de 2025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El formulario está disponible en el </w:t>
      </w:r>
      <w:hyperlink r:id="rId7">
        <w:r w:rsidDel="00000000" w:rsidR="00000000" w:rsidRPr="00000000">
          <w:rPr>
            <w:rFonts w:ascii="Roboto Light" w:cs="Roboto Light" w:eastAsia="Roboto Light" w:hAnsi="Roboto Light"/>
            <w:color w:val="1155cc"/>
            <w:u w:val="single"/>
            <w:rtl w:val="0"/>
          </w:rPr>
          <w:t xml:space="preserve">enlace</w:t>
        </w:r>
      </w:hyperlink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Para más información se puede contactar con Carlos Pagés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(tfno. 681 132 646, e-mail: cpages@ciong.org)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Hay que enviar un formulario por cada iniciativa presentada. </w:t>
      </w:r>
    </w:p>
    <w:p w:rsidR="00000000" w:rsidDel="00000000" w:rsidP="00000000" w:rsidRDefault="00000000" w:rsidRPr="00000000" w14:paraId="00000010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4. Cada iniciativa deberá estar respaldada por un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vídeo vertical de una duración entre 45 y 90 segundos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que explique de forma resumida y amena la actividad. Las publicaciones se deberán subir a la cuenta de Instagram de la propia Asociación y subir el enlace al formulario.</w:t>
      </w:r>
    </w:p>
    <w:p w:rsidR="00000000" w:rsidDel="00000000" w:rsidP="00000000" w:rsidRDefault="00000000" w:rsidRPr="00000000" w14:paraId="00000012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 modo de ejemplo, los ganadores del año 2024 fueron el </w:t>
      </w:r>
      <w:hyperlink r:id="rId8">
        <w:r w:rsidDel="00000000" w:rsidR="00000000" w:rsidRPr="00000000">
          <w:rPr>
            <w:rFonts w:ascii="Roboto Light" w:cs="Roboto Light" w:eastAsia="Roboto Light" w:hAnsi="Roboto Light"/>
            <w:color w:val="1155cc"/>
            <w:u w:val="single"/>
            <w:rtl w:val="0"/>
          </w:rPr>
          <w:t xml:space="preserve">Club Rueiro</w:t>
        </w:r>
      </w:hyperlink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y el </w:t>
      </w:r>
      <w:hyperlink r:id="rId9">
        <w:r w:rsidDel="00000000" w:rsidR="00000000" w:rsidRPr="00000000">
          <w:rPr>
            <w:rFonts w:ascii="Roboto Light" w:cs="Roboto Light" w:eastAsia="Roboto Light" w:hAnsi="Roboto Light"/>
            <w:color w:val="1155cc"/>
            <w:u w:val="single"/>
            <w:rtl w:val="0"/>
          </w:rPr>
          <w:t xml:space="preserve">Club Juvenil Alaiz</w:t>
        </w:r>
      </w:hyperlink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5.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Criterios de evaluación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El Jurado estará compuesto por dos miembros del departamento de proyectos de Cooperación Internacional, dos profesores de una entidad educativa y un profesional de la comunicación. El juicio del jurado se basará en los siguientes criterios:</w:t>
      </w:r>
    </w:p>
    <w:p w:rsidR="00000000" w:rsidDel="00000000" w:rsidP="00000000" w:rsidRDefault="00000000" w:rsidRPr="00000000" w14:paraId="00000016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EN RELACIÓN A LA ACTIVIDAD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Innovación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aborda un problema social real o un reto formativo de un modo creativo. Posee carácter innovador en términos de enfoque o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Implicación juvenil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un número elevado de jóvenes participan activamente en el proyecto y son protagonistas de 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Impacto social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El grado de incidencia sobre los beneficiarios de la actividad de forma directa o indirecta. Además del número de likes en Instagram.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EN RELACIÓN A LA COMUNICACIÓN</w:t>
      </w:r>
    </w:p>
    <w:p w:rsidR="00000000" w:rsidDel="00000000" w:rsidP="00000000" w:rsidRDefault="00000000" w:rsidRPr="00000000" w14:paraId="00000021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Organización y estilo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El contenido está correctamente estructurado y guionizado, discurre con comprensibilidad. Se ajusta a la duración establecida (entre 45 y 90 segundos).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Creatividad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Uso original de la cámara, la música y los efectos de sonido y las diferentes tomas mejoran la comunicación del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Contenido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Consigue transmitir los principales contenidos sociales del proyecto y coincide razonablemente con el alcance y objetivos presentados en la inscripción de la acción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Calidad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Las letras, logos y leyendas son distinguibles y legibles. La música y las locuciones son audibles y entendibles. El volumen es adecuado y no existen interrupciones auditivas. Las imágenes están correctamente enfocadas, la iluminación es apropiada y el trabajo de la cámara es fluido y constante, con secuencia lógica y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7. El fallo del jurado se dará a conocer durante la ceremonia de entrega de trofeos en Fátima. </w:t>
      </w:r>
    </w:p>
    <w:p w:rsidR="00000000" w:rsidDel="00000000" w:rsidP="00000000" w:rsidRDefault="00000000" w:rsidRPr="00000000" w14:paraId="00000028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8. Se concederán dos trofeos. El primer trofeo tiene un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premio en metálico de 1.000€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, y el segundo de 500€.</w:t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0"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572011" cy="98583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036" l="0" r="0" t="14135"/>
                  <a:stretch>
                    <a:fillRect/>
                  </a:stretch>
                </pic:blipFill>
                <pic:spPr>
                  <a:xfrm>
                    <a:off x="0" y="0"/>
                    <a:ext cx="1572011" cy="985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3717836</wp:posOffset>
          </wp:positionH>
          <wp:positionV relativeFrom="paragraph">
            <wp:posOffset>176213</wp:posOffset>
          </wp:positionV>
          <wp:extent cx="2016214" cy="63341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214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instagram.com/reel/C4nWH2sM85M/?igsh=eXhuM3htNmMzMWp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oj3yenZwZMMYtBCm7" TargetMode="External"/><Relationship Id="rId8" Type="http://schemas.openxmlformats.org/officeDocument/2006/relationships/hyperlink" Target="https://www.instagram.com/p/C4bJO3wMkl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QFJBen9YY8jaUh29ok3xZfShQ==">CgMxLjA4AHIhMXNLWU1MeGFmODlrSGNBMnJGeWtJRDFkX2lYUVNrZ2JB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